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15" w:rsidRDefault="00183315" w:rsidP="00183315">
      <w:pPr>
        <w:pStyle w:val="1"/>
        <w:spacing w:before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СТРУКТУРА</w:t>
      </w:r>
    </w:p>
    <w:p w:rsidR="00183315" w:rsidRDefault="00183315" w:rsidP="00183315">
      <w:pPr>
        <w:pStyle w:val="1"/>
        <w:spacing w:before="0"/>
        <w:jc w:val="center"/>
        <w:rPr>
          <w:rFonts w:ascii="Times New Roman" w:hAnsi="Times New Roman" w:cs="Times New Roman"/>
          <w:sz w:val="72"/>
          <w:szCs w:val="7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1.3pt;margin-top:82.15pt;width:44.25pt;height:614.05pt;z-index:251658240" fillcolor="white [3201]" strokecolor="#f79646 [3209]" strokeweight="5pt">
            <v:stroke linestyle="thickThin"/>
            <v:shadow color="#868686"/>
            <v:textbox style="layout-flow:vertical;mso-layout-flow-alt:bottom-to-top;mso-next-textbox:#_x0000_s1035">
              <w:txbxContent>
                <w:p w:rsidR="00183315" w:rsidRDefault="00183315" w:rsidP="00183315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color w:val="002060"/>
                      <w:sz w:val="44"/>
                      <w:szCs w:val="44"/>
                    </w:rPr>
                    <w:t>НАПРАВЛЕНИЯ ИННОВАЦИОННОЙ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72"/>
          <w:szCs w:val="72"/>
        </w:rPr>
        <w:t>ИННОВАЦИОННОЙ ДЕЯТЕЛЬНОСТИ</w:t>
      </w:r>
    </w:p>
    <w:p w:rsidR="00183315" w:rsidRDefault="00183315" w:rsidP="00183315">
      <w:pPr>
        <w:pStyle w:val="1"/>
        <w:spacing w:before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МАОУ СОШ №47</w:t>
      </w:r>
    </w:p>
    <w:p w:rsidR="00183315" w:rsidRDefault="00183315" w:rsidP="00183315">
      <w:r>
        <w:pict>
          <v:shape id="_x0000_s1026" type="#_x0000_t202" style="position:absolute;margin-left:48.85pt;margin-top:125.05pt;width:148.5pt;height:230.3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3315" w:rsidRDefault="00183315" w:rsidP="00183315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1.ОБНОВЛЕНИЕ СИСТЕМЫ УПРАВЛЕНЧЕСКОЙ  ПОДДЕРЖКИ ДЛЯ РАЗВИТИЯ ЧЕЛОВЕЧЕСКИХ РЕСУРСОВ, ВКЛЮЧАЮЩИХ ПОДДЕРЖКУ ИННОВАЦИОННОЙ ДЕЯТЕЛЬНОСТИ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23.55pt;margin-top:125.05pt;width:152.65pt;height:1in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3315" w:rsidRDefault="00183315" w:rsidP="00183315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ОБЕСПЕЧЕНИЕ ИНФОРМАЦИЕЙ О НОВАЦИЯХ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93.45pt;margin-top:125.05pt;width:85.5pt;height:1in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3315" w:rsidRDefault="00183315" w:rsidP="00183315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ОБУЧЕНИЕ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61.2pt;margin-top:370.95pt;width:205.5pt;height:209.8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183315" w:rsidRDefault="00183315" w:rsidP="00183315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СТРУКТУРИРОВАНИЕ ЭЛЕМЕНТОВ ИННОВАЦИОННОЙ ДЕЯТЕЛЬНОСТИ В ЕДИНУЮ СИСТЕМУ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23.55pt;margin-top:197.05pt;width:255.4pt;height:71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183315" w:rsidRDefault="00183315" w:rsidP="00183315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УПРАВЛЕНИЕ ИННОВАЦИОННОЙ ДЕЯТЕЛЬНОСТЬЮ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74.2pt;margin-top:289.85pt;width:186pt;height:290.9pt;z-index:251658240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183315" w:rsidRDefault="00183315" w:rsidP="00183315">
                  <w:pP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СОЗДАНИЕ УСЛОВИЙ ДЛЯ РЕШЕНИЯ ВСЕХ ПРОТИВОРЕЧИЙ И ЗАДАЧ: 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-управленческих;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-организационных;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-педагогических;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-методических;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-стимулирующих;</w:t>
                  </w:r>
                </w:p>
                <w:p w:rsidR="00183315" w:rsidRDefault="00183315" w:rsidP="00183315">
                  <w:pPr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-материально-технических.</w:t>
                  </w:r>
                </w:p>
                <w:p w:rsidR="00183315" w:rsidRDefault="00183315" w:rsidP="00183315">
                  <w:pPr>
                    <w:rPr>
                      <w:b/>
                      <w:color w:val="365F91" w:themeColor="accent1" w:themeShade="BF"/>
                    </w:rPr>
                  </w:pPr>
                </w:p>
                <w:p w:rsidR="00183315" w:rsidRDefault="00183315" w:rsidP="00183315">
                  <w:pPr>
                    <w:rPr>
                      <w:b/>
                      <w:color w:val="365F91" w:themeColor="accent1" w:themeShade="BF"/>
                    </w:rPr>
                  </w:pPr>
                </w:p>
                <w:p w:rsidR="00183315" w:rsidRDefault="00183315" w:rsidP="00183315">
                  <w:pPr>
                    <w:rPr>
                      <w:b/>
                      <w:color w:val="365F91" w:themeColor="accent1" w:themeShade="BF"/>
                    </w:rPr>
                  </w:pPr>
                </w:p>
                <w:p w:rsidR="00183315" w:rsidRDefault="00183315" w:rsidP="00183315">
                  <w:pPr>
                    <w:rPr>
                      <w:b/>
                      <w:color w:val="365F91" w:themeColor="accent1" w:themeShade="BF"/>
                    </w:rPr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7.35pt;margin-top:185.35pt;width:26.2pt;height:.05pt;z-index:251658240" o:connectortype="straight" strokecolor="#92cddc [1944]"/>
        </w:pict>
      </w:r>
      <w:r>
        <w:pict>
          <v:shape id="_x0000_s1033" type="#_x0000_t32" style="position:absolute;margin-left:371.7pt;margin-top:97.95pt;width:16.05pt;height:0;z-index:251658240" o:connectortype="straight" strokecolor="#92cddc [1944]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5.3pt;margin-top:185.4pt;width:39.4pt;height:11.65pt;z-index:251658240" strokecolor="#92cddc [1944]"/>
        </w:pict>
      </w:r>
      <w: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margin-left:3.2pt;margin-top:289.85pt;width:53.25pt;height:189.75pt;rotation:11051580fd;flip:x y;z-index:251658240" adj=",18032,8016" fillcolor="#f79646 [3209]" strokecolor="#f2f2f2 [3041]" strokeweight="3pt">
            <v:shadow on="t" type="perspective" color="#974706 [1609]" opacity=".5" offset="1pt" offset2="-1pt"/>
          </v:shape>
        </w:pict>
      </w:r>
      <w:r>
        <w:pict>
          <v:shape id="_x0000_s1039" type="#_x0000_t13" style="position:absolute;margin-left:166.15pt;margin-top:307.4pt;width:126.65pt;height:18.75pt;rotation:3265295fd;flip:y;z-index:251658240" strokecolor="#92cddc [1944]"/>
        </w:pict>
      </w:r>
      <w:r>
        <w:pict>
          <v:shape id="_x0000_s1040" type="#_x0000_t13" style="position:absolute;margin-left:367.65pt;margin-top:269.8pt;width:21.35pt;height:18.8pt;rotation:90;z-index:251658240" strokecolor="#92cddc [1944]"/>
        </w:pict>
      </w:r>
      <w:r>
        <w:pict>
          <v:shape id="_x0000_s1045" type="#_x0000_t202" style="position:absolute;margin-left:3.2pt;margin-top:2.95pt;width:498.25pt;height:123.0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83315" w:rsidRDefault="00183315" w:rsidP="00183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ЦЕЛЬ ИННОВАЦИОННОЙ ДЕЯТЕЛЬНОСТИ:</w:t>
                  </w:r>
                </w:p>
                <w:p w:rsidR="00183315" w:rsidRDefault="00183315" w:rsidP="0018331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ОБЕСПЕЧЕНИЕ КАЧЕСТВЕННОГО ИЗМЕНЕНИЯ В ДОШКОЛЬНОМ, ОБЩЕМ, ДОПОЛНИТЕЛЬНОМ ОБРАЗОВАНИИ И ВОСПИТАНИИ ДЕТЕЙ ДЛЯ ПРЕДСТАВЛЕНИЯ ИМ ВОЗМОЖНОСТЕЙ РАЗВИВАТЬСЯ КАК ДУХОВНОЙ, ТВОРЧЕСКОЙ И ЗДОРОВОЙ ЛИЧНОСТИ В СООТВЕТСТВИИ С ВОЗМОЖНОСТЯМИ, ПОТРЕБНОСТЯМИ, ТРЕБОВАНИЯМИ СОВРЕМЕННОГО ГРАЖДАНСКОГО ОБЩЕСТВА.</w:t>
                  </w:r>
                </w:p>
              </w:txbxContent>
            </v:textbox>
          </v:shape>
        </w:pict>
      </w:r>
      <w:r>
        <w:pict>
          <v:shape id="_x0000_s1046" type="#_x0000_t32" style="position:absolute;margin-left:368.95pt;margin-top:161.55pt;width:24.5pt;height:0;z-index:251658240" o:connectortype="straight" strokecolor="#f2f2f2 [3041]" strokeweight="3pt">
            <v:shadow type="perspective" color="#243f60 [1604]" opacity=".5" offset="1pt" offset2="-1pt"/>
          </v:shape>
        </w:pict>
      </w:r>
      <w:r>
        <w:pict>
          <v:shape id="_x0000_s1047" type="#_x0000_t32" style="position:absolute;margin-left:376.2pt;margin-top:161.5pt;width:17.25pt;height:.05pt;z-index:251658240" o:connectortype="straight"/>
        </w:pict>
      </w:r>
    </w:p>
    <w:p w:rsidR="00183315" w:rsidRDefault="00183315" w:rsidP="00183315"/>
    <w:p w:rsidR="00183315" w:rsidRDefault="00183315" w:rsidP="00183315">
      <w:pPr>
        <w:spacing w:after="0"/>
        <w:jc w:val="center"/>
        <w:rPr>
          <w:sz w:val="52"/>
          <w:szCs w:val="52"/>
        </w:rPr>
      </w:pPr>
    </w:p>
    <w:p w:rsidR="00183315" w:rsidRDefault="00183315" w:rsidP="00183315">
      <w:pPr>
        <w:pStyle w:val="2"/>
      </w:pPr>
    </w:p>
    <w:p w:rsidR="00183315" w:rsidRDefault="00183315" w:rsidP="00183315">
      <w:pPr>
        <w:pStyle w:val="2"/>
      </w:pPr>
      <w:r>
        <w:br w:type="page"/>
      </w:r>
    </w:p>
    <w:p w:rsidR="00183315" w:rsidRDefault="00183315" w:rsidP="00183315">
      <w:pPr>
        <w:spacing w:after="0"/>
        <w:jc w:val="right"/>
      </w:pPr>
      <w:r>
        <w:lastRenderedPageBreak/>
        <w:pict>
          <v:shape id="_x0000_s1036" type="#_x0000_t202" style="position:absolute;left:0;text-align:left;margin-left:13.95pt;margin-top:3.3pt;width:197.25pt;height:130.5pt;z-index:251658240" fillcolor="white [3201]" strokecolor="#f79646 [3209]" strokeweight="2.5pt">
            <v:shadow color="#868686"/>
            <v:textbox style="mso-next-textbox:#_x0000_s1036">
              <w:txbxContent>
                <w:p w:rsidR="00183315" w:rsidRDefault="00183315" w:rsidP="00183315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2.СОЗДАНИЕ УСЛОВИЙ, ОБЕСПЕЧИВАЮЩИХ РЕАЛИЗАЦИЮ ПРОЕКТОВ И ПРОГРАММ ПО ОБНОВЛЕНИЮ СОДЕРЖАНИЯ И</w:t>
                  </w:r>
                  <w:r>
                    <w:rPr>
                      <w:b/>
                      <w:color w:val="0070C0"/>
                    </w:rPr>
                    <w:t xml:space="preserve"> 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ФОРМ ОБРАЗОВАНИЯ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58.05pt;margin-top:138.3pt;width:67.5pt;height:636.75pt;z-index:251658240" fillcolor="white [3201]" strokecolor="#f79646 [3209]" strokeweight="5pt">
            <v:stroke linestyle="thickThin"/>
            <v:shadow color="#868686"/>
            <v:textbox style="layout-flow:vertical;mso-layout-flow-alt:bottom-to-top;mso-next-textbox:#_x0000_s1041">
              <w:txbxContent>
                <w:p w:rsidR="00183315" w:rsidRDefault="00183315" w:rsidP="00183315">
                  <w:pPr>
                    <w:jc w:val="center"/>
                    <w:rPr>
                      <w:b/>
                      <w:color w:val="002060"/>
                      <w:sz w:val="52"/>
                      <w:szCs w:val="52"/>
                    </w:rPr>
                  </w:pPr>
                  <w:r>
                    <w:rPr>
                      <w:b/>
                      <w:color w:val="002060"/>
                      <w:sz w:val="52"/>
                      <w:szCs w:val="52"/>
                    </w:rPr>
                    <w:t>НАПРАВЛЕНИЯ ИННОВАЦИОННОЙ ДЕЯТЕЛЬНОСТИ</w:t>
                  </w:r>
                </w:p>
              </w:txbxContent>
            </v:textbox>
          </v:shape>
        </w:pict>
      </w:r>
      <w:r>
        <w:pict>
          <v:shape id="_x0000_s1037" type="#_x0000_t102" style="position:absolute;left:0;text-align:left;margin-left:-68.5pt;margin-top:-11.2pt;width:69.7pt;height:133.95pt;rotation:-13514505fd;flip:x;z-index:251658240" adj=",1740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drawing>
          <wp:inline distT="0" distB="0" distL="0" distR="0">
            <wp:extent cx="2819400" cy="1730470"/>
            <wp:effectExtent l="19050" t="0" r="0" b="0"/>
            <wp:docPr id="1" name="Рисунок 1" descr="школ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15" w:rsidRDefault="00183315" w:rsidP="00183315">
      <w:r>
        <w:rPr>
          <w:noProof/>
        </w:rPr>
        <w:pict>
          <v:shape id="_x0000_s1049" type="#_x0000_t202" style="position:absolute;margin-left:19.95pt;margin-top:11.8pt;width:473.25pt;height:49.5pt;z-index:251659264" fillcolor="white [3201]" strokecolor="#f79646 [3209]" strokeweight="5pt">
            <v:stroke linestyle="thickThin"/>
            <v:shadow color="#868686"/>
            <v:textbox>
              <w:txbxContent>
                <w:p w:rsidR="00183315" w:rsidRPr="00183315" w:rsidRDefault="00183315" w:rsidP="001833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3. СОПРОВОЖДЕНИЕ РЕАЛИЗАЦИИ ФЕДЕРАЛЬНОГО ГОСУДАРСТВЕННОГО ОБРАЗОВАТЕЛЬНОГО СТАНДАРТА НАЧАЛЬНОГО И ОБЩЕГО ОБРАЗОВАНИЯ</w:t>
                  </w:r>
                </w:p>
              </w:txbxContent>
            </v:textbox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3" type="#_x0000_t80" style="position:absolute;margin-left:19.95pt;margin-top:151.6pt;width:473.25pt;height:51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pict>
          <v:shape id="_x0000_s1044" type="#_x0000_t202" style="position:absolute;margin-left:19.95pt;margin-top:203.45pt;width:477.75pt;height:585pt;z-index:251658240">
            <v:textbox style="mso-next-textbox:#_x0000_s1044">
              <w:txbxContent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.ФЕДЕРАЛЬНОЕ ГОСУДАРСТВЕННОЕ БЮДЖЕТНОЕ ОБРАЗОВАТЕЛЬНОЕ УЧРЕЖДЕНИЕ ВЫСШЕГО ПРОФЕССИОНАЛЬНОГО ОБРАЗОВАНИЯ «ТОМСКИЙ ГОСУДАРСТВЕННЫЙ  ПЕДАГОГИЧЕСКИЙ УНИВЕРСИТЕТ (ТГПУ)».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2.ОБЛАСТНОЕ ГОСУДАРСТВЕННОЕ АВТОНОМНОЕ УЧРЕЖДЕНИЕ КУЛЬТУРЫ «ТОМСКИЙ ОБЛАСТНОЙ ХУДОЖЕСТВЕННЫЙ МУЗЕЙ» (ОГАУК «ТОХМ»)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3.ФЕДЕРАЛЬНОЕ ГОСУДАРСТВЕННОЕ БЮДЖЕТНОЕ ОБРАЗОВАТЕЛЬНОЕ УЧРЕЖДЕНИЕ ВЫСШЕГО ПРОФЕССИОНАЛЬНОГО ОБРАЗОВАНИЯ «НОВОСИБИРСКИЙ ГОСУДАРСТВЕННЫЙ АНРАРНЫЙ УНИВЕРСИТЕТ». ТОМСКИЙ СЕЛЬСКОХОЗЯЙСТВЕННЫЙ ИНСТИТУТ – ФИЛИАЛ ФГБОУ ВПО «НГАУ»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4.МУНИЦИПАЛЬНОЕ АВТОНОМНОЕ УЧРЕЖДЕНИЕ ИНФОРМАЦИОННО – МЕТОДИЧЕСКИЙ ЦЕНТР Г.ТОМСКА (МАУ ИМЦ)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5.СИСТЕМА «АЛГОРИТМ УСПЕХА». ИЗДАТЕЛЬСКИЙ ЦЕНТР «ВЕНТАНА – ГРАФ».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6.МУНИЦИПАЛЬНОЕ БЮДЖЕТНОЕ ОБЩЕОБРАЗОВАТЕЛЬНОЕ УЧРЕЖДЕНИЕ АКАДЕМИЧЕСКИЙ ЛИЦЕЙ  Г. ТОМСКА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7.ОБЛАСТНОЕ ГОСУДАРСТВЕННОЕ БЮДЖЕТНОЕ УЧРЕЖДЕНИЕ  «РЕГИОНАЛЬНЫЙ ЦЕНТР РАЗВИТИЯ ОБРАЗОВАНИЯ»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8.ФЕДЕРАЛЬНОЕ ГОСУДАРСТВЕННОЕ БЮДЖЕТНОЕ ОБРАЗОВАТЕЛЬНОЕ УЧРЕЖДЕНИЕ ВЫСШЕГО ПРОФЕССИОНАЛЬНОГО ОБРАЗОВАНИЯ «НАЦИОНАЛЬНЫЙ ИССЛЕДОВАТЕЛЬСКИЙ ТОМСКИЙ ГОСУДАРСТВЕННЫЙ УНИВЕРСИТЕТ»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9.ОГОУ ДПО «ТОМСКИЙ ОБЛАСТНОЙ ИНСТИТУТ ПОВЫШЕНИЯ КВАЛИФИКАЦИИ И ПЕРЕПОДГОТОВКИ РАБОТНИКОВ ОБРАЗОВАНИЯ».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10.ФИЛИАЛ ГОСУДАРСТВЕЕННОГО ОБРАЗОВАТЕЛЬНОГО УЧРЕЖДЕНИЯ ВЫСШЕГО ПРОФЕССИОНАЛЬНОГО ОБРАЗОВАНИЯ «СИБИРСКИЙ ГОСУДАРСТВЕННЫЙ УНИВЕРСИТЕТ ПУТЕЙ СООБЩЕНИЯ»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11. АВТОНОМНАЯ НЕКОММЕРЧЕСКАЯ ОРГАНИЗАЦИЯ ДОПОЛНИТЕЛЬНОГО ПРОФЕССИОНАЛЬНОГО ОБРАЗОВАНИЯ (ПОВЫШЕНИЯ КВАЛИФИКАЦИИ) СПЕЦИАЛИСТОВ «ТОМСКИЙ ЦЕНТР ПРОФЕССИОНАЛЬНОЙ ОРИЕНТАЦИИ МОЛОДЁЖИ И ПСИХОЛОГИЧЕСКОЙ ПОДДЕРЖКИ НАСЕЛЕНИЯ»</w:t>
                  </w:r>
                </w:p>
                <w:p w:rsidR="00183315" w:rsidRDefault="00183315" w:rsidP="00183315">
                  <w:pPr>
                    <w:spacing w:after="0"/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12.ОБЛАСТНОЕ ГОСУДАРСТВЕННОЕ БЮДЖЕТНОЕ УЧРЕЖДЕНИЕ СРЕДНЕГО ПРОФЕССИОНАЛЬНОГО ОБРАЗОВАНИЯ «ТОМСКИЙ </w:t>
                  </w:r>
                  <w:proofErr w:type="gramStart"/>
                  <w:r>
                    <w:rPr>
                      <w:b/>
                      <w:color w:val="002060"/>
                      <w:sz w:val="20"/>
                      <w:szCs w:val="20"/>
                    </w:rPr>
                    <w:t>ЭКОНОМИКО – ПРОМЫШЛЕННЫЙ</w:t>
                  </w:r>
                  <w:proofErr w:type="gramEnd"/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КОЛЛЕДЖ».</w:t>
                  </w:r>
                </w:p>
                <w:p w:rsidR="00183315" w:rsidRDefault="00183315" w:rsidP="00183315">
                  <w:pPr>
                    <w:spacing w:after="0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48" type="#_x0000_t202" style="position:absolute;margin-left:122.7pt;margin-top:158.4pt;width:274.5pt;height:29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183315" w:rsidRDefault="00183315" w:rsidP="00183315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СОЦИАЛЬНЫЕ ПАРТНЁРЫ</w:t>
                  </w:r>
                </w:p>
              </w:txbxContent>
            </v:textbox>
          </v:shape>
        </w:pict>
      </w:r>
    </w:p>
    <w:p w:rsidR="00183315" w:rsidRDefault="00183315" w:rsidP="00183315"/>
    <w:p w:rsidR="00183315" w:rsidRDefault="00183315" w:rsidP="00183315">
      <w:r>
        <w:pict>
          <v:shape id="_x0000_s1042" type="#_x0000_t202" style="position:absolute;margin-left:19.95pt;margin-top:10.4pt;width:473.25pt;height:78.75pt;z-index:251658240" fillcolor="white [3201]" strokecolor="#f79646 [3209]" strokeweight="5pt">
            <v:stroke linestyle="thickThin"/>
            <v:shadow color="#868686"/>
            <v:textbox>
              <w:txbxContent>
                <w:p w:rsidR="00183315" w:rsidRPr="00183315" w:rsidRDefault="00183315" w:rsidP="001833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4</w:t>
                  </w:r>
                  <w:r w:rsidRPr="00183315">
                    <w:rPr>
                      <w:b/>
                      <w:color w:val="002060"/>
                      <w:sz w:val="24"/>
                      <w:szCs w:val="24"/>
                    </w:rPr>
                    <w:t>.ОРГАНИЗАЦИЯ СИСТЕМЫ ВЗАИМОДЕЙСТВИЯ ШКОЛЫ С ПРОФЕССИОНАЛЬНЫМ И МЕСТНЫМ СООБЩЕСТВОМ, ОРГАНАМИ ВЛАСТИ, СУБЪЕКТАМИ КУЛЬТУРНОЙ, ЭКОНОМИЧЕСКОЙ СФЕРЫ РАЙОНА, ГОРОДА ДЛЯ РАСШИРЕНИЯ ОБРАЗОВАТЕЛЬНОГО ПРОСТРАНСТВА И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183315">
                    <w:rPr>
                      <w:b/>
                      <w:color w:val="002060"/>
                      <w:sz w:val="24"/>
                      <w:szCs w:val="24"/>
                    </w:rPr>
                    <w:t>ПРИВЛЕЧЕНИЕ ДОПОЛНИТЕЛЬНОГО ОБРАЗОВАНИЯ</w:t>
                  </w:r>
                </w:p>
              </w:txbxContent>
            </v:textbox>
          </v:shape>
        </w:pict>
      </w:r>
    </w:p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/>
    <w:p w:rsidR="00183315" w:rsidRDefault="00183315" w:rsidP="00183315">
      <w:pPr>
        <w:tabs>
          <w:tab w:val="left" w:pos="5535"/>
        </w:tabs>
      </w:pPr>
      <w:r>
        <w:tab/>
      </w:r>
    </w:p>
    <w:p w:rsidR="00183315" w:rsidRDefault="00183315" w:rsidP="00183315">
      <w:pPr>
        <w:tabs>
          <w:tab w:val="left" w:pos="5535"/>
        </w:tabs>
      </w:pPr>
    </w:p>
    <w:p w:rsidR="00183315" w:rsidRDefault="00183315" w:rsidP="00183315"/>
    <w:p w:rsidR="002758DC" w:rsidRDefault="002758DC"/>
    <w:sectPr w:rsidR="002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315"/>
    <w:rsid w:val="00183315"/>
    <w:rsid w:val="0027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6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8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В Ф</dc:creator>
  <cp:keywords/>
  <dc:description/>
  <cp:lastModifiedBy>Котлярова В Ф</cp:lastModifiedBy>
  <cp:revision>3</cp:revision>
  <dcterms:created xsi:type="dcterms:W3CDTF">2016-09-02T02:33:00Z</dcterms:created>
  <dcterms:modified xsi:type="dcterms:W3CDTF">2016-09-02T02:43:00Z</dcterms:modified>
</cp:coreProperties>
</file>